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6F15" w:rsidRDefault="005B363E">
      <w:bookmarkStart w:id="0" w:name="firstHeading"/>
      <w:bookmarkEnd w:id="0"/>
      <w:r>
        <w:t>Andy Warhol</w:t>
      </w:r>
      <w:bookmarkStart w:id="1" w:name="_GoBack"/>
      <w:bookmarkEnd w:id="1"/>
    </w:p>
    <w:p w:rsidR="00E06F15" w:rsidRDefault="00E06F15">
      <w:pPr>
        <w:rPr>
          <w:rFonts w:hint="eastAsia"/>
        </w:rPr>
      </w:pPr>
      <w:r>
        <w:t>Uno dei più innovativi e originali artisti del XX secolo</w:t>
      </w:r>
    </w:p>
    <w:p w:rsidR="00186F71" w:rsidRDefault="005B363E">
      <w:pPr>
        <w:rPr>
          <w:rFonts w:hint="eastAsia"/>
        </w:rPr>
      </w:pPr>
      <w:bookmarkStart w:id="2" w:name="Biografia"/>
      <w:bookmarkEnd w:id="2"/>
      <w:r>
        <w:t>Biografia</w:t>
      </w:r>
    </w:p>
    <w:p w:rsidR="00186F71" w:rsidRDefault="005B363E">
      <w:pPr>
        <w:pStyle w:val="Corpodeltesto"/>
        <w:spacing w:after="0"/>
        <w:rPr>
          <w:rFonts w:hint="eastAsia"/>
        </w:rPr>
      </w:pPr>
      <w:r>
        <w:t xml:space="preserve">Andy Warhol nacque a Pittsburgh, in Pennsylvania, il 6 agosto del 1928, figlio di </w:t>
      </w:r>
      <w:proofErr w:type="spellStart"/>
      <w:r>
        <w:t>Ondrej</w:t>
      </w:r>
      <w:proofErr w:type="spellEnd"/>
      <w:r>
        <w:t xml:space="preserve"> </w:t>
      </w:r>
      <w:proofErr w:type="spellStart"/>
      <w:r>
        <w:t>Varchola</w:t>
      </w:r>
      <w:proofErr w:type="spellEnd"/>
      <w:r>
        <w:t xml:space="preserve"> (</w:t>
      </w:r>
      <w:proofErr w:type="spellStart"/>
      <w:r>
        <w:t>anglofonizzò</w:t>
      </w:r>
      <w:proofErr w:type="spellEnd"/>
      <w:r>
        <w:t xml:space="preserve"> il proprio nome in Andrew </w:t>
      </w:r>
      <w:proofErr w:type="spellStart"/>
      <w:r>
        <w:t>Warhola</w:t>
      </w:r>
      <w:proofErr w:type="spellEnd"/>
      <w:r>
        <w:t xml:space="preserve"> poco dopo il suo arrivo negli Stati Uniti; 1889-1942) e di </w:t>
      </w:r>
      <w:proofErr w:type="spellStart"/>
      <w:r>
        <w:t>Júlia</w:t>
      </w:r>
      <w:proofErr w:type="spellEnd"/>
      <w:r>
        <w:t xml:space="preserve"> </w:t>
      </w:r>
      <w:proofErr w:type="spellStart"/>
      <w:r>
        <w:t>Justína</w:t>
      </w:r>
      <w:proofErr w:type="spellEnd"/>
      <w:r>
        <w:t xml:space="preserve"> </w:t>
      </w:r>
      <w:proofErr w:type="spellStart"/>
      <w:r>
        <w:t>Zavacká</w:t>
      </w:r>
      <w:proofErr w:type="spellEnd"/>
      <w:r>
        <w:t xml:space="preserve"> </w:t>
      </w:r>
      <w:r>
        <w:t xml:space="preserve">(1892-1972), ambedue immigrati slovacchi originari di </w:t>
      </w:r>
      <w:proofErr w:type="spellStart"/>
      <w:r>
        <w:t>Miková</w:t>
      </w:r>
      <w:proofErr w:type="spellEnd"/>
      <w:r>
        <w:t xml:space="preserve"> (un paese situato nell'odierna Slovacchia nord-orientale). Warhol mostrò subito il suo talento artistico, e studiò arte pubblicitaria al Carnegie </w:t>
      </w:r>
      <w:proofErr w:type="spellStart"/>
      <w:r>
        <w:t>Institute</w:t>
      </w:r>
      <w:proofErr w:type="spellEnd"/>
      <w:r>
        <w:t xml:space="preserve"> of Technology, l'attuale Carnegie Mello</w:t>
      </w:r>
      <w:r>
        <w:t xml:space="preserve">n </w:t>
      </w:r>
      <w:proofErr w:type="spellStart"/>
      <w:r>
        <w:t>University</w:t>
      </w:r>
      <w:proofErr w:type="spellEnd"/>
      <w:r>
        <w:t xml:space="preserve"> di Pittsburgh. Dopo la laurea, ottenuta nel 1949, si trasferì a New York. La "grande mela" gli offrì subito molteplici possibilità di affermarsi nel mondo della pubblicità, lavorando per riviste come Vogue e Glamour.</w:t>
      </w:r>
    </w:p>
    <w:p w:rsidR="00186F71" w:rsidRDefault="005B363E">
      <w:pPr>
        <w:pStyle w:val="Corpodeltesto"/>
        <w:spacing w:after="0"/>
        <w:rPr>
          <w:rFonts w:hint="eastAsia"/>
        </w:rPr>
      </w:pPr>
      <w:r>
        <w:t>Il 3 giugno 1968, una femm</w:t>
      </w:r>
      <w:r>
        <w:t>inista radicale nonché artista frequentatrice della "</w:t>
      </w:r>
      <w:proofErr w:type="spellStart"/>
      <w:r>
        <w:t>Factory</w:t>
      </w:r>
      <w:proofErr w:type="spellEnd"/>
      <w:r>
        <w:t>", Valerie Solanas, sparò a Warhol e al suo compagno di allora, Mario Amaya. Entrambi sopravvissero all'accaduto, nonostante le gravissime ferite riportate da Warhol avessero fatto temere il peggi</w:t>
      </w:r>
      <w:r>
        <w:t>o. Le apparizioni pubbliche di Warhol dopo questa vicenda diminuirono drasticamente: l'artista si rifiutò di testimoniare contro la sua tentata carnefice e la vicenda passò in second'ordine per via dell'assassinio di Bob Kennedy, avvenuto due giorni dopo.</w:t>
      </w:r>
    </w:p>
    <w:p w:rsidR="00186F71" w:rsidRDefault="005B363E">
      <w:pPr>
        <w:pStyle w:val="Corpodeltesto"/>
        <w:spacing w:after="0"/>
        <w:rPr>
          <w:rFonts w:hint="eastAsia"/>
        </w:rPr>
      </w:pPr>
      <w:r>
        <w:t xml:space="preserve">Morì cinquantanovenne a New York il 22 febbraio 1987, in seguito a un intervento chirurgico alla cistifellea, dopo aver realizzato Last </w:t>
      </w:r>
      <w:proofErr w:type="spellStart"/>
      <w:r>
        <w:t>Supper</w:t>
      </w:r>
      <w:proofErr w:type="spellEnd"/>
      <w:r>
        <w:t>, ispirato all'Ultima Cena di Leonardo da Vinci. I funerali si svolsero a Pittsburgh, sua città natale, e a New Yo</w:t>
      </w:r>
      <w:r>
        <w:t xml:space="preserve">rk venne celebrata una messa commemorativa. Nella primavera del 1988, 10.000 oggetti di sua proprietà vengono venduti all'asta da </w:t>
      </w:r>
      <w:proofErr w:type="spellStart"/>
      <w:r>
        <w:t>Sotheby's</w:t>
      </w:r>
      <w:proofErr w:type="spellEnd"/>
      <w:r>
        <w:t xml:space="preserve"> per finanziare la "Andy Warhol Foundation for the Visual </w:t>
      </w:r>
      <w:proofErr w:type="spellStart"/>
      <w:r>
        <w:t>Arts</w:t>
      </w:r>
      <w:proofErr w:type="spellEnd"/>
      <w:r>
        <w:t xml:space="preserve">". Nel 1989 il </w:t>
      </w:r>
      <w:proofErr w:type="spellStart"/>
      <w:r>
        <w:t>Museum</w:t>
      </w:r>
      <w:proofErr w:type="spellEnd"/>
      <w:r>
        <w:t xml:space="preserve"> of </w:t>
      </w:r>
      <w:proofErr w:type="spellStart"/>
      <w:r>
        <w:t>Modern</w:t>
      </w:r>
      <w:proofErr w:type="spellEnd"/>
      <w:r>
        <w:t xml:space="preserve"> Art di New York gli ded</w:t>
      </w:r>
      <w:r>
        <w:t>icò una grande retrospettiva.</w:t>
      </w:r>
    </w:p>
    <w:p w:rsidR="00186F71" w:rsidRDefault="00186F71">
      <w:pPr>
        <w:pStyle w:val="Corpodeltesto"/>
        <w:spacing w:after="0"/>
        <w:rPr>
          <w:rFonts w:hint="eastAsia"/>
        </w:rPr>
      </w:pPr>
    </w:p>
    <w:p w:rsidR="00186F71" w:rsidRDefault="005B363E">
      <w:pPr>
        <w:pStyle w:val="Corpodeltesto"/>
        <w:spacing w:after="0"/>
        <w:rPr>
          <w:rFonts w:hint="eastAsia"/>
        </w:rPr>
      </w:pPr>
      <w:bookmarkStart w:id="3" w:name="Pittura"/>
      <w:bookmarkEnd w:id="3"/>
      <w:r>
        <w:t>Pittura</w:t>
      </w:r>
    </w:p>
    <w:p w:rsidR="00186F71" w:rsidRDefault="005B363E">
      <w:pPr>
        <w:pStyle w:val="Corpodeltesto"/>
        <w:spacing w:after="0"/>
        <w:rPr>
          <w:rFonts w:hint="eastAsia"/>
        </w:rPr>
      </w:pPr>
      <w:r>
        <w:t>La sua attività artistica conta tantissime opere, che produceva in serie con l'ausilio dell'impianto serigrafico. Le sue opere più famose sono diventate delle icone: Marilyn Monroe, Mao Zedong, Che Guevara e tante alt</w:t>
      </w:r>
      <w:r>
        <w:t xml:space="preserve">re. Da ricordare le sovrane regnanti Elisabetta II del Regno Unito, Margherita II di Danimarca, Beatrice dei Paesi Bassi, la regina madre </w:t>
      </w:r>
      <w:proofErr w:type="spellStart"/>
      <w:r>
        <w:t>Ntfombi</w:t>
      </w:r>
      <w:proofErr w:type="spellEnd"/>
      <w:r>
        <w:t xml:space="preserve"> dello Swaziland, la principessa Diana Spencer e l'ex imperatrice dell'Iran </w:t>
      </w:r>
      <w:proofErr w:type="spellStart"/>
      <w:r>
        <w:t>Farah</w:t>
      </w:r>
      <w:proofErr w:type="spellEnd"/>
      <w:r>
        <w:t xml:space="preserve"> Pahlavi. La ripetizione era i</w:t>
      </w:r>
      <w:r>
        <w:t xml:space="preserve">l suo metodo di successo: su grosse tele riproduceva moltissime volte la stessa immagine alterandone i colori (prevalentemente vivaci e forti). Prendendo immagini pubblicitarie di grandi marchi commerciali (famose le sue bottiglie di Coca Cola) o immagini </w:t>
      </w:r>
      <w:r>
        <w:t>d'impatto come incidenti stradali o sedie elettriche, riusciva a svuotare di ogni significato le immagini che rappresentava proprio con la ripetizione dell'immagine stessa su vasta scala.</w:t>
      </w:r>
    </w:p>
    <w:p w:rsidR="00186F71" w:rsidRDefault="005B363E">
      <w:pPr>
        <w:pStyle w:val="Corpodeltesto"/>
        <w:spacing w:after="0"/>
        <w:rPr>
          <w:rFonts w:hint="eastAsia"/>
        </w:rPr>
      </w:pPr>
      <w:r>
        <w:t>La sua arte, che portava gli scaffali di un supermercato all'interno</w:t>
      </w:r>
      <w:r>
        <w:t xml:space="preserve"> di un museo o di una mostra d'arte, era una provocazione nemmeno troppo velata: secondo uno dei più grandi esponenti della Pop Art l'arte doveva essere "consumata" come un qualsiasi altro prodotto commerciale.</w:t>
      </w:r>
    </w:p>
    <w:p w:rsidR="00186F71" w:rsidRDefault="005B363E">
      <w:pPr>
        <w:pStyle w:val="Corpodeltesto"/>
        <w:spacing w:after="0"/>
        <w:rPr>
          <w:rFonts w:hint="eastAsia"/>
        </w:rPr>
      </w:pPr>
      <w:r>
        <w:t>Ha spesso ribadito che i prodotti di massa ra</w:t>
      </w:r>
      <w:r>
        <w:t xml:space="preserve">ppresentano la democrazia sociale e come tali devono essere riconosciuti: anche il più povero può bere la stessa Coca-Cola che beve Jimmy Carter o </w:t>
      </w:r>
      <w:proofErr w:type="spellStart"/>
      <w:r>
        <w:t>Liz</w:t>
      </w:r>
      <w:proofErr w:type="spellEnd"/>
      <w:r>
        <w:t xml:space="preserve"> Taylor. Fra i suoi assistenti, che successivamente divennero essi stessi famosi, figurò Ronnie </w:t>
      </w:r>
      <w:proofErr w:type="spellStart"/>
      <w:r>
        <w:t>Cutrone</w:t>
      </w:r>
      <w:proofErr w:type="spellEnd"/>
      <w:r>
        <w:t>.</w:t>
      </w:r>
    </w:p>
    <w:p w:rsidR="00186F71" w:rsidRDefault="005B363E">
      <w:pPr>
        <w:pStyle w:val="Corpodeltesto"/>
        <w:spacing w:after="0"/>
        <w:rPr>
          <w:rFonts w:hint="eastAsia"/>
        </w:rPr>
      </w:pPr>
      <w:r>
        <w:t>S</w:t>
      </w:r>
      <w:r>
        <w:t xml:space="preserve">uccessivamente rivisitò anche le grandi opere del passato, come L'ultima cena di Leonardo da Vinci o capolavori di Paolo Uccello e Piero della Francesca: anche in questo caso cercò di rendere </w:t>
      </w:r>
      <w:r>
        <w:lastRenderedPageBreak/>
        <w:t>omaggio a delle opere d'arte al posto dei mass media che in alcu</w:t>
      </w:r>
      <w:r>
        <w:t>ni casi cercarono di screditarlo, tuttavia la pop art fu una delle icone principali che accompagnarono il boom economico.</w:t>
      </w:r>
    </w:p>
    <w:p w:rsidR="00186F71" w:rsidRDefault="005B363E">
      <w:pPr>
        <w:pStyle w:val="Corpodeltesto"/>
        <w:spacing w:after="0"/>
        <w:rPr>
          <w:rFonts w:hint="eastAsia"/>
        </w:rPr>
      </w:pPr>
      <w:r>
        <w:t xml:space="preserve">Per i </w:t>
      </w:r>
      <w:proofErr w:type="spellStart"/>
      <w:r>
        <w:t>VIPs</w:t>
      </w:r>
      <w:proofErr w:type="spellEnd"/>
      <w:r>
        <w:t xml:space="preserve"> dell'epoca essere ritratti da Warhol divenne un "must"( a conferma del loro status sociale). Su questo tema fu allestita al</w:t>
      </w:r>
      <w:r>
        <w:t xml:space="preserve"> </w:t>
      </w:r>
      <w:proofErr w:type="spellStart"/>
      <w:r>
        <w:t>Grand</w:t>
      </w:r>
      <w:proofErr w:type="spellEnd"/>
      <w:r>
        <w:t xml:space="preserve"> </w:t>
      </w:r>
      <w:proofErr w:type="spellStart"/>
      <w:r>
        <w:t>Palais</w:t>
      </w:r>
      <w:proofErr w:type="spellEnd"/>
      <w:r>
        <w:t xml:space="preserve"> di Parigi la grande mostra : Le </w:t>
      </w:r>
      <w:proofErr w:type="spellStart"/>
      <w:r>
        <w:t>Grand</w:t>
      </w:r>
      <w:proofErr w:type="spellEnd"/>
      <w:r>
        <w:t xml:space="preserve"> Monde d'Andy Warhol (18 marzo 2009 - 13 luglio 2009). (v. bibliografia) , dove furono esposti ,tra i molti altri, anche i ritratti fatti agli italiani Gianni e Marella Agnelli (1972).</w:t>
      </w:r>
    </w:p>
    <w:p w:rsidR="00186F71" w:rsidRDefault="00186F71">
      <w:pPr>
        <w:pStyle w:val="Corpodeltesto"/>
        <w:spacing w:after="0"/>
        <w:rPr>
          <w:rFonts w:hint="eastAsia"/>
        </w:rPr>
      </w:pPr>
    </w:p>
    <w:p w:rsidR="00186F71" w:rsidRDefault="005B363E">
      <w:pPr>
        <w:pStyle w:val="Corpodeltesto"/>
        <w:spacing w:after="0"/>
        <w:rPr>
          <w:rFonts w:hint="eastAsia"/>
        </w:rPr>
      </w:pPr>
      <w:r>
        <w:t>Scultura</w:t>
      </w:r>
    </w:p>
    <w:p w:rsidR="00186F71" w:rsidRDefault="005B363E">
      <w:pPr>
        <w:pStyle w:val="Corpodeltesto"/>
        <w:spacing w:after="0"/>
        <w:rPr>
          <w:rFonts w:hint="eastAsia"/>
        </w:rPr>
      </w:pPr>
      <w:r>
        <w:t>I famosi b</w:t>
      </w:r>
      <w:r>
        <w:t xml:space="preserve">arattoli di zuppa </w:t>
      </w:r>
      <w:proofErr w:type="spellStart"/>
      <w:r>
        <w:t>Campbell's</w:t>
      </w:r>
      <w:proofErr w:type="spellEnd"/>
      <w:r>
        <w:t xml:space="preserve"> spesso rappresentati da Warhol</w:t>
      </w:r>
    </w:p>
    <w:p w:rsidR="00186F71" w:rsidRDefault="005B363E">
      <w:pPr>
        <w:pStyle w:val="Corpodeltesto"/>
        <w:spacing w:after="0"/>
        <w:rPr>
          <w:rFonts w:hint="eastAsia"/>
        </w:rPr>
      </w:pPr>
      <w:proofErr w:type="spellStart"/>
      <w:r>
        <w:t>ndy</w:t>
      </w:r>
      <w:proofErr w:type="spellEnd"/>
      <w:r>
        <w:t xml:space="preserve"> Warhol ha anche creato alcune sculture che riproponevano in più dimensioni alcuni suoi lavori serigrafici più famosi, come ad esempio scatole di detersivo Brillo ed altri prodotti in scatola</w:t>
      </w:r>
    </w:p>
    <w:p w:rsidR="00186F71" w:rsidRDefault="00186F71">
      <w:pPr>
        <w:pStyle w:val="Corpodeltesto"/>
        <w:spacing w:after="0"/>
        <w:rPr>
          <w:rFonts w:hint="eastAsia"/>
        </w:rPr>
      </w:pPr>
    </w:p>
    <w:p w:rsidR="00186F71" w:rsidRDefault="005B363E">
      <w:pPr>
        <w:pStyle w:val="Corpodeltesto"/>
        <w:spacing w:after="0"/>
        <w:rPr>
          <w:rFonts w:hint="eastAsia"/>
        </w:rPr>
      </w:pPr>
      <w:r>
        <w:t>Altre forme d'arte</w:t>
      </w:r>
    </w:p>
    <w:p w:rsidR="00186F71" w:rsidRDefault="005B363E">
      <w:pPr>
        <w:pStyle w:val="Corpodeltesto"/>
        <w:spacing w:after="0"/>
        <w:rPr>
          <w:rFonts w:hint="eastAsia"/>
        </w:rPr>
      </w:pPr>
      <w:r>
        <w:t xml:space="preserve">Warhol ha sostenuto e sperimentato altre forme di comunicazione, come ad esempio il cinema e la musica: ha prodotto alcuni lungometraggi e film, ha sostenuto alcuni gruppi musicali, tra cui i </w:t>
      </w:r>
      <w:proofErr w:type="spellStart"/>
      <w:r>
        <w:t>Velvet</w:t>
      </w:r>
      <w:proofErr w:type="spellEnd"/>
      <w:r>
        <w:t xml:space="preserve"> Underground con </w:t>
      </w:r>
      <w:proofErr w:type="spellStart"/>
      <w:r>
        <w:t>Lou</w:t>
      </w:r>
      <w:proofErr w:type="spellEnd"/>
      <w:r>
        <w:t xml:space="preserve"> </w:t>
      </w:r>
      <w:proofErr w:type="spellStart"/>
      <w:r>
        <w:t>Reed</w:t>
      </w:r>
      <w:proofErr w:type="spellEnd"/>
      <w:r>
        <w:t xml:space="preserve">, per i quali </w:t>
      </w:r>
      <w:r>
        <w:t xml:space="preserve">ha disegnato la celebre copertina dell'album d'esordio The </w:t>
      </w:r>
      <w:proofErr w:type="spellStart"/>
      <w:r>
        <w:t>Velvet</w:t>
      </w:r>
      <w:proofErr w:type="spellEnd"/>
      <w:r>
        <w:t xml:space="preserve"> Underground &amp; Nico, e numerosi artisti anche stranieri tra cui la cantante italiana Loredana Bertè, ha scritto libri e biografie. Il pensiero "commerciale" di Warhol spaziava in ogni campo. </w:t>
      </w:r>
      <w:proofErr w:type="spellStart"/>
      <w:r>
        <w:t>Blow</w:t>
      </w:r>
      <w:proofErr w:type="spellEnd"/>
      <w:r>
        <w:t xml:space="preserve"> Job (telecamera fissa per 35 minuti sul volto di un uomo che riceve una fellatio) e </w:t>
      </w:r>
      <w:proofErr w:type="spellStart"/>
      <w:r>
        <w:t>Lonesome</w:t>
      </w:r>
      <w:proofErr w:type="spellEnd"/>
      <w:r>
        <w:t xml:space="preserve"> </w:t>
      </w:r>
      <w:proofErr w:type="spellStart"/>
      <w:r>
        <w:t>Cowboys</w:t>
      </w:r>
      <w:proofErr w:type="spellEnd"/>
      <w:r>
        <w:t xml:space="preserve"> sono alcuni esempi di film che ritraggono la cultura gay newyorkese del tempo, censurati e distribuiti solo con il passaparola.</w:t>
      </w:r>
    </w:p>
    <w:p w:rsidR="00186F71" w:rsidRDefault="005B363E">
      <w:pPr>
        <w:pStyle w:val="Corpodeltesto"/>
        <w:spacing w:after="0"/>
        <w:rPr>
          <w:rFonts w:hint="eastAsia"/>
        </w:rPr>
      </w:pPr>
      <w:r>
        <w:t>Altri lavori, certamen</w:t>
      </w:r>
      <w:r>
        <w:t>te d'avanguardia, mostrano ad esempio un uomo che dorme per cinque ore e venti (</w:t>
      </w:r>
      <w:proofErr w:type="spellStart"/>
      <w:r>
        <w:t>Sleep</w:t>
      </w:r>
      <w:proofErr w:type="spellEnd"/>
      <w:r>
        <w:t xml:space="preserve">, 1963). Alcuni di questi film furono trasmessi al pubblico dopo trent'anni dalla data di pubblicazione dei lungometraggi, soprattutto in occasione di mostre ed antologie </w:t>
      </w:r>
      <w:r>
        <w:t>del pittore organizzate in molti musei del mondo.</w:t>
      </w:r>
    </w:p>
    <w:p w:rsidR="00186F71" w:rsidRDefault="005B363E">
      <w:pPr>
        <w:pStyle w:val="Corpodeltesto"/>
        <w:spacing w:after="0"/>
        <w:rPr>
          <w:rFonts w:hint="eastAsia"/>
        </w:rPr>
      </w:pPr>
      <w:r>
        <w:t xml:space="preserve">È stato anche fondatore della </w:t>
      </w:r>
      <w:proofErr w:type="spellStart"/>
      <w:r>
        <w:t>Factory</w:t>
      </w:r>
      <w:proofErr w:type="spellEnd"/>
      <w:r>
        <w:t>, luogo in cui giovani artisti newyorkesi potevano trovare uno spazio collettivo per creare: qui sono nati o passati per un breve periodo altri famosi artisti come Jean-</w:t>
      </w:r>
      <w:r>
        <w:t xml:space="preserve">Michel </w:t>
      </w:r>
      <w:proofErr w:type="spellStart"/>
      <w:r>
        <w:t>Basquiat</w:t>
      </w:r>
      <w:proofErr w:type="spellEnd"/>
      <w:r>
        <w:t xml:space="preserve">, Francesco Clemente, Keith </w:t>
      </w:r>
      <w:proofErr w:type="spellStart"/>
      <w:r>
        <w:t>Haring</w:t>
      </w:r>
      <w:proofErr w:type="spellEnd"/>
      <w:r>
        <w:t>.</w:t>
      </w:r>
    </w:p>
    <w:sectPr w:rsidR="00186F71">
      <w:pgSz w:w="11906" w:h="16838"/>
      <w:pgMar w:top="1134" w:right="1134" w:bottom="1134" w:left="1134" w:header="0" w:footer="0" w:gutter="0"/>
      <w:cols w:space="720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7"/>
  <w:proofState w:spelling="clean"/>
  <w:defaultTabStop w:val="420"/>
  <w:hyphenationZone w:val="283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6F71"/>
    <w:rsid w:val="00186F71"/>
    <w:rsid w:val="005B363E"/>
    <w:rsid w:val="00E06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SimSun" w:hAnsi="Liberation Serif" w:cs="Mangal"/>
        <w:sz w:val="24"/>
        <w:szCs w:val="24"/>
        <w:lang w:val="it-IT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</w:pPr>
  </w:style>
  <w:style w:type="paragraph" w:styleId="Titolo1">
    <w:name w:val="heading 1"/>
    <w:basedOn w:val="Titolo"/>
    <w:next w:val="Corpodeltesto"/>
    <w:pPr>
      <w:outlineLvl w:val="0"/>
    </w:pPr>
    <w:rPr>
      <w:rFonts w:ascii="Liberation Serif" w:eastAsia="SimSun" w:hAnsi="Liberation Serif"/>
      <w:b/>
      <w:bCs/>
      <w:sz w:val="48"/>
      <w:szCs w:val="48"/>
    </w:rPr>
  </w:style>
  <w:style w:type="paragraph" w:styleId="Titolo2">
    <w:name w:val="heading 2"/>
    <w:basedOn w:val="Titolo"/>
    <w:next w:val="Corpodeltesto"/>
    <w:pPr>
      <w:spacing w:before="200"/>
      <w:outlineLvl w:val="1"/>
    </w:pPr>
    <w:rPr>
      <w:rFonts w:ascii="Liberation Serif" w:eastAsia="SimSun" w:hAnsi="Liberation Serif"/>
      <w:b/>
      <w:bCs/>
      <w:sz w:val="36"/>
      <w:szCs w:val="3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ollegamentoInternet">
    <w:name w:val="Collegamento Internet"/>
    <w:rPr>
      <w:color w:val="000080"/>
      <w:u w:val="single"/>
    </w:rPr>
  </w:style>
  <w:style w:type="paragraph" w:styleId="Titolo">
    <w:name w:val="Title"/>
    <w:basedOn w:val="Normale"/>
    <w:next w:val="Corpodeltesto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Corpodeltesto">
    <w:name w:val="Corpo del testo"/>
    <w:basedOn w:val="Normale"/>
    <w:pPr>
      <w:spacing w:after="140" w:line="288" w:lineRule="auto"/>
    </w:pPr>
  </w:style>
  <w:style w:type="paragraph" w:styleId="Elenco">
    <w:name w:val="List"/>
    <w:basedOn w:val="Corpodeltesto"/>
  </w:style>
  <w:style w:type="paragraph" w:styleId="Didascalia">
    <w:name w:val="caption"/>
    <w:basedOn w:val="Normale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qFormat/>
    <w:pPr>
      <w:suppressLineNumbers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SimSun" w:hAnsi="Liberation Serif" w:cs="Mangal"/>
        <w:sz w:val="24"/>
        <w:szCs w:val="24"/>
        <w:lang w:val="it-IT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</w:pPr>
  </w:style>
  <w:style w:type="paragraph" w:styleId="Titolo1">
    <w:name w:val="heading 1"/>
    <w:basedOn w:val="Titolo"/>
    <w:next w:val="Corpodeltesto"/>
    <w:pPr>
      <w:outlineLvl w:val="0"/>
    </w:pPr>
    <w:rPr>
      <w:rFonts w:ascii="Liberation Serif" w:eastAsia="SimSun" w:hAnsi="Liberation Serif"/>
      <w:b/>
      <w:bCs/>
      <w:sz w:val="48"/>
      <w:szCs w:val="48"/>
    </w:rPr>
  </w:style>
  <w:style w:type="paragraph" w:styleId="Titolo2">
    <w:name w:val="heading 2"/>
    <w:basedOn w:val="Titolo"/>
    <w:next w:val="Corpodeltesto"/>
    <w:pPr>
      <w:spacing w:before="200"/>
      <w:outlineLvl w:val="1"/>
    </w:pPr>
    <w:rPr>
      <w:rFonts w:ascii="Liberation Serif" w:eastAsia="SimSun" w:hAnsi="Liberation Serif"/>
      <w:b/>
      <w:bCs/>
      <w:sz w:val="36"/>
      <w:szCs w:val="3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ollegamentoInternet">
    <w:name w:val="Collegamento Internet"/>
    <w:rPr>
      <w:color w:val="000080"/>
      <w:u w:val="single"/>
    </w:rPr>
  </w:style>
  <w:style w:type="paragraph" w:styleId="Titolo">
    <w:name w:val="Title"/>
    <w:basedOn w:val="Normale"/>
    <w:next w:val="Corpodeltesto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Corpodeltesto">
    <w:name w:val="Corpo del testo"/>
    <w:basedOn w:val="Normale"/>
    <w:pPr>
      <w:spacing w:after="140" w:line="288" w:lineRule="auto"/>
    </w:pPr>
  </w:style>
  <w:style w:type="paragraph" w:styleId="Elenco">
    <w:name w:val="List"/>
    <w:basedOn w:val="Corpodeltesto"/>
  </w:style>
  <w:style w:type="paragraph" w:styleId="Didascalia">
    <w:name w:val="caption"/>
    <w:basedOn w:val="Normale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qFormat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855</Words>
  <Characters>4878</Characters>
  <Application>Microsoft Office Word</Application>
  <DocSecurity>0</DocSecurity>
  <Lines>40</Lines>
  <Paragraphs>11</Paragraphs>
  <ScaleCrop>false</ScaleCrop>
  <Company/>
  <LinksUpToDate>false</LinksUpToDate>
  <CharactersWithSpaces>5722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2016-11-05T17:21:00Z</dcterms:created>
  <dcterms:modified xsi:type="dcterms:W3CDTF">2016-11-05T17:21:00Z</dcterms:modified>
  <dc:language>it-IT</dc:language>
</cp:coreProperties>
</file>